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BFB07E5" wp14:editId="786AAA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Pr="00567B40" w:rsidRDefault="00567B40" w:rsidP="006548C7">
            <w:pPr>
              <w:rPr>
                <w:rFonts w:ascii="Arial" w:hAnsi="Arial"/>
                <w:b/>
              </w:rPr>
            </w:pPr>
            <w:r w:rsidRPr="00567B40">
              <w:rPr>
                <w:rFonts w:ascii="Arial" w:hAnsi="Arial"/>
                <w:b/>
              </w:rPr>
              <w:t>DEPARTMENT:</w:t>
            </w:r>
          </w:p>
        </w:tc>
        <w:tc>
          <w:tcPr>
            <w:tcW w:w="7020" w:type="dxa"/>
            <w:gridSpan w:val="5"/>
          </w:tcPr>
          <w:p w:rsidR="00BB1F7B" w:rsidRDefault="00FF3176">
            <w:pPr>
              <w:rPr>
                <w:rFonts w:ascii="Arial" w:hAnsi="Arial"/>
              </w:rPr>
            </w:pPr>
            <w:r>
              <w:rPr>
                <w:rFonts w:ascii="Arial" w:hAnsi="Arial"/>
              </w:rPr>
              <w:t>Colleen Brady</w:t>
            </w:r>
          </w:p>
          <w:p w:rsidR="00BB1F7B" w:rsidRDefault="00BB1F7B">
            <w:pPr>
              <w:rPr>
                <w:rFonts w:ascii="Arial" w:hAnsi="Arial"/>
              </w:rPr>
            </w:pPr>
          </w:p>
          <w:p w:rsidR="00567B40" w:rsidRDefault="00567B40">
            <w:pPr>
              <w:rPr>
                <w:rFonts w:ascii="Arial" w:hAnsi="Arial"/>
              </w:rPr>
            </w:pPr>
            <w:r>
              <w:rPr>
                <w:rFonts w:ascii="Arial" w:hAnsi="Arial"/>
              </w:rPr>
              <w:t>Social Sciences</w:t>
            </w:r>
          </w:p>
          <w:p w:rsidR="00567B40" w:rsidRDefault="00567B40">
            <w:pPr>
              <w:rPr>
                <w:rFonts w:ascii="Arial" w:hAnsi="Arial"/>
              </w:rPr>
            </w:pPr>
          </w:p>
        </w:tc>
      </w:tr>
      <w:tr w:rsidR="00567B40" w:rsidTr="00D95AF1">
        <w:tc>
          <w:tcPr>
            <w:tcW w:w="2610" w:type="dxa"/>
          </w:tcPr>
          <w:p w:rsidR="00567B40" w:rsidRDefault="00567B40">
            <w:pPr>
              <w:rPr>
                <w:rFonts w:ascii="Arial" w:hAnsi="Arial"/>
                <w:b/>
                <w:lang w:val="en-GB"/>
              </w:rPr>
            </w:pPr>
            <w:r>
              <w:rPr>
                <w:rFonts w:ascii="Arial" w:hAnsi="Arial"/>
                <w:b/>
                <w:lang w:val="en-GB"/>
              </w:rPr>
              <w:t>DATE:</w:t>
            </w:r>
          </w:p>
          <w:p w:rsidR="00567B40" w:rsidRDefault="00567B40">
            <w:pPr>
              <w:rPr>
                <w:rFonts w:ascii="Arial" w:hAnsi="Arial"/>
              </w:rPr>
            </w:pPr>
          </w:p>
        </w:tc>
        <w:tc>
          <w:tcPr>
            <w:tcW w:w="1710" w:type="dxa"/>
          </w:tcPr>
          <w:p w:rsidR="00567B40" w:rsidRDefault="00567B40" w:rsidP="00F5072E">
            <w:pPr>
              <w:rPr>
                <w:rFonts w:ascii="Arial" w:hAnsi="Arial"/>
              </w:rPr>
            </w:pPr>
            <w:r>
              <w:rPr>
                <w:rFonts w:ascii="Arial" w:hAnsi="Arial"/>
              </w:rPr>
              <w:t>May 201</w:t>
            </w:r>
            <w:r w:rsidR="00F5072E">
              <w:rPr>
                <w:rFonts w:ascii="Arial" w:hAnsi="Arial"/>
              </w:rPr>
              <w:t>4</w:t>
            </w:r>
          </w:p>
        </w:tc>
        <w:tc>
          <w:tcPr>
            <w:tcW w:w="3600" w:type="dxa"/>
            <w:gridSpan w:val="2"/>
          </w:tcPr>
          <w:p w:rsidR="00567B40" w:rsidRDefault="00567B40">
            <w:pPr>
              <w:rPr>
                <w:rFonts w:ascii="Arial" w:hAnsi="Arial"/>
              </w:rPr>
            </w:pPr>
            <w:r>
              <w:rPr>
                <w:rFonts w:ascii="Arial" w:hAnsi="Arial"/>
                <w:b/>
                <w:lang w:val="en-GB"/>
              </w:rPr>
              <w:t>PREVIOUS OUTLINE DATED:</w:t>
            </w:r>
          </w:p>
        </w:tc>
        <w:tc>
          <w:tcPr>
            <w:tcW w:w="1710" w:type="dxa"/>
            <w:gridSpan w:val="2"/>
          </w:tcPr>
          <w:p w:rsidR="00567B40" w:rsidRDefault="00567B40" w:rsidP="00567B40">
            <w:pPr>
              <w:rPr>
                <w:rFonts w:ascii="Arial" w:hAnsi="Arial"/>
              </w:rPr>
            </w:pPr>
            <w:r>
              <w:rPr>
                <w:rFonts w:ascii="Arial" w:hAnsi="Arial"/>
              </w:rPr>
              <w:t>Jan. 2013</w:t>
            </w:r>
          </w:p>
        </w:tc>
      </w:tr>
      <w:tr w:rsidR="00567B40" w:rsidTr="00D95AF1">
        <w:trPr>
          <w:cantSplit/>
        </w:trPr>
        <w:tc>
          <w:tcPr>
            <w:tcW w:w="2610" w:type="dxa"/>
          </w:tcPr>
          <w:p w:rsidR="00567B40" w:rsidRDefault="00567B40">
            <w:pPr>
              <w:rPr>
                <w:rFonts w:ascii="Arial" w:hAnsi="Arial"/>
              </w:rPr>
            </w:pPr>
            <w:r>
              <w:rPr>
                <w:rFonts w:ascii="Arial" w:hAnsi="Arial"/>
                <w:b/>
                <w:lang w:val="en-GB"/>
              </w:rPr>
              <w:t>APPROVED:</w:t>
            </w:r>
          </w:p>
        </w:tc>
        <w:tc>
          <w:tcPr>
            <w:tcW w:w="5310" w:type="dxa"/>
            <w:gridSpan w:val="3"/>
          </w:tcPr>
          <w:p w:rsidR="00567B40" w:rsidRDefault="00F5072E" w:rsidP="006548C7">
            <w:pPr>
              <w:jc w:val="center"/>
              <w:rPr>
                <w:rFonts w:ascii="Arial" w:hAnsi="Arial"/>
              </w:rPr>
            </w:pPr>
            <w:r>
              <w:rPr>
                <w:i/>
                <w:sz w:val="28"/>
                <w:szCs w:val="28"/>
              </w:rPr>
              <w:t>“Angelique Lemay”</w:t>
            </w:r>
          </w:p>
        </w:tc>
        <w:tc>
          <w:tcPr>
            <w:tcW w:w="1710" w:type="dxa"/>
            <w:gridSpan w:val="2"/>
          </w:tcPr>
          <w:p w:rsidR="00567B40" w:rsidRDefault="00F5072E">
            <w:pPr>
              <w:rPr>
                <w:rFonts w:ascii="Arial" w:hAnsi="Arial"/>
              </w:rPr>
            </w:pPr>
            <w:r>
              <w:rPr>
                <w:i/>
              </w:rPr>
              <w:t>Aug. 22, 2014</w:t>
            </w:r>
          </w:p>
        </w:tc>
      </w:tr>
      <w:tr w:rsidR="00567B40" w:rsidTr="00D95AF1">
        <w:trPr>
          <w:cantSplit/>
        </w:trPr>
        <w:tc>
          <w:tcPr>
            <w:tcW w:w="2610" w:type="dxa"/>
          </w:tcPr>
          <w:p w:rsidR="00567B40" w:rsidRDefault="00567B40">
            <w:pPr>
              <w:rPr>
                <w:rFonts w:ascii="Arial" w:hAnsi="Arial"/>
              </w:rPr>
            </w:pPr>
          </w:p>
        </w:tc>
        <w:tc>
          <w:tcPr>
            <w:tcW w:w="5310" w:type="dxa"/>
            <w:gridSpan w:val="3"/>
          </w:tcPr>
          <w:p w:rsidR="00567B40" w:rsidRDefault="00567B40">
            <w:pPr>
              <w:pStyle w:val="Heading2"/>
              <w:rPr>
                <w:rFonts w:ascii="Arial" w:hAnsi="Arial"/>
                <w:lang w:val="en-US"/>
              </w:rPr>
            </w:pPr>
            <w:r>
              <w:rPr>
                <w:rFonts w:ascii="Arial" w:hAnsi="Arial"/>
                <w:lang w:val="en-US"/>
              </w:rPr>
              <w:t>__________________________________</w:t>
            </w:r>
          </w:p>
          <w:p w:rsidR="00567B40" w:rsidRDefault="00567B40">
            <w:pPr>
              <w:pStyle w:val="Heading2"/>
              <w:rPr>
                <w:rFonts w:ascii="Arial" w:hAnsi="Arial"/>
                <w:lang w:val="en-US"/>
              </w:rPr>
            </w:pPr>
            <w:r>
              <w:rPr>
                <w:rFonts w:ascii="Arial" w:hAnsi="Arial"/>
                <w:lang w:val="en-US"/>
              </w:rPr>
              <w:t>DEAN</w:t>
            </w:r>
          </w:p>
        </w:tc>
        <w:tc>
          <w:tcPr>
            <w:tcW w:w="1710" w:type="dxa"/>
            <w:gridSpan w:val="2"/>
          </w:tcPr>
          <w:p w:rsidR="00567B40" w:rsidRDefault="00567B40">
            <w:pPr>
              <w:rPr>
                <w:rFonts w:ascii="Arial" w:hAnsi="Arial"/>
                <w:b/>
                <w:lang w:val="en-GB"/>
              </w:rPr>
            </w:pPr>
            <w:r>
              <w:rPr>
                <w:rFonts w:ascii="Arial" w:hAnsi="Arial"/>
                <w:b/>
                <w:lang w:val="en-GB"/>
              </w:rPr>
              <w:t>__________</w:t>
            </w:r>
          </w:p>
          <w:p w:rsidR="00567B40" w:rsidRDefault="00567B40">
            <w:pPr>
              <w:jc w:val="center"/>
              <w:rPr>
                <w:rFonts w:ascii="Arial" w:hAnsi="Arial"/>
              </w:rPr>
            </w:pPr>
            <w:r>
              <w:rPr>
                <w:rFonts w:ascii="Arial" w:hAnsi="Arial"/>
                <w:b/>
                <w:lang w:val="en-GB"/>
              </w:rPr>
              <w:t>DATE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TOTAL CREDITS: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credits</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PREREQUISITE(S):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None</w:t>
            </w:r>
            <w:bookmarkStart w:id="0" w:name="_GoBack"/>
            <w:bookmarkEnd w:id="0"/>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HOURS/WEEK:</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hours / week</w:t>
            </w:r>
          </w:p>
        </w:tc>
      </w:tr>
      <w:tr w:rsidR="00567B40" w:rsidTr="00D95AF1">
        <w:trPr>
          <w:cantSplit/>
        </w:trPr>
        <w:tc>
          <w:tcPr>
            <w:tcW w:w="9630" w:type="dxa"/>
            <w:gridSpan w:val="6"/>
          </w:tcPr>
          <w:p w:rsidR="00567B40" w:rsidRPr="00A55EF9" w:rsidRDefault="00567B40" w:rsidP="00A55EF9">
            <w:pPr>
              <w:rPr>
                <w:lang w:val="en-GB"/>
              </w:rPr>
            </w:pPr>
          </w:p>
          <w:p w:rsidR="00567B40" w:rsidRPr="00A55EF9" w:rsidRDefault="00567B40">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567B40" w:rsidRPr="00A55EF9" w:rsidRDefault="00567B40">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567B40" w:rsidRPr="00A55EF9" w:rsidRDefault="00567B40">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567B40" w:rsidTr="00D95AF1">
        <w:trPr>
          <w:cantSplit/>
        </w:trPr>
        <w:tc>
          <w:tcPr>
            <w:tcW w:w="9630" w:type="dxa"/>
            <w:gridSpan w:val="6"/>
          </w:tcPr>
          <w:p w:rsidR="00567B40" w:rsidRPr="00A55EF9" w:rsidRDefault="00567B40"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tc>
      </w:tr>
      <w:tr w:rsidR="00567B40" w:rsidTr="00D95AF1">
        <w:trPr>
          <w:cantSplit/>
        </w:trPr>
        <w:tc>
          <w:tcPr>
            <w:tcW w:w="9630" w:type="dxa"/>
            <w:gridSpan w:val="6"/>
          </w:tcPr>
          <w:p w:rsidR="00567B40" w:rsidRPr="00A55EF9" w:rsidRDefault="00567B40" w:rsidP="00BB1F7B">
            <w:pPr>
              <w:tabs>
                <w:tab w:val="center" w:pos="4560"/>
              </w:tabs>
              <w:jc w:val="center"/>
              <w:rPr>
                <w:rFonts w:ascii="Arial" w:hAnsi="Arial"/>
                <w:i/>
                <w:sz w:val="22"/>
                <w:szCs w:val="22"/>
                <w:lang w:val="en-GB"/>
              </w:rPr>
            </w:pPr>
            <w:r w:rsidRPr="00A55EF9">
              <w:rPr>
                <w:rFonts w:ascii="Arial" w:hAnsi="Arial"/>
                <w:i/>
                <w:sz w:val="22"/>
                <w:szCs w:val="22"/>
                <w:lang w:val="en-GB"/>
              </w:rPr>
              <w:t xml:space="preserve">School </w:t>
            </w:r>
            <w:r>
              <w:rPr>
                <w:rFonts w:ascii="Arial" w:hAnsi="Arial"/>
                <w:i/>
                <w:sz w:val="22"/>
                <w:szCs w:val="22"/>
                <w:lang w:val="en-GB"/>
              </w:rPr>
              <w:t xml:space="preserve">of </w:t>
            </w:r>
            <w:r w:rsidRPr="00A55EF9">
              <w:rPr>
                <w:rFonts w:ascii="Arial" w:hAnsi="Arial"/>
                <w:i/>
                <w:sz w:val="22"/>
                <w:szCs w:val="22"/>
                <w:lang w:val="en-GB"/>
              </w:rPr>
              <w:t>Community Services</w:t>
            </w:r>
            <w:r>
              <w:rPr>
                <w:rFonts w:ascii="Arial" w:hAnsi="Arial"/>
                <w:i/>
                <w:sz w:val="22"/>
                <w:szCs w:val="22"/>
                <w:lang w:val="en-GB"/>
              </w:rPr>
              <w:t xml:space="preserve"> and Interdisciplinary Studies</w:t>
            </w:r>
          </w:p>
        </w:tc>
      </w:tr>
      <w:tr w:rsidR="00567B40" w:rsidTr="00D95AF1">
        <w:trPr>
          <w:cantSplit/>
        </w:trPr>
        <w:tc>
          <w:tcPr>
            <w:tcW w:w="9630" w:type="dxa"/>
            <w:gridSpan w:val="6"/>
          </w:tcPr>
          <w:p w:rsidR="00567B40" w:rsidRDefault="00567B40">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567B40" w:rsidRPr="00A55EF9" w:rsidRDefault="00567B40">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567B40" w:rsidRPr="00567B40" w:rsidRDefault="00567B40" w:rsidP="00567B40">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001D2867">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CB1628" w:rsidRPr="00FF3176" w:rsidRDefault="00CB1628" w:rsidP="00FF3176">
      <w:pPr>
        <w:ind w:left="1440"/>
        <w:rPr>
          <w:rFonts w:ascii="Arial" w:hAnsi="Arial"/>
          <w:sz w:val="22"/>
        </w:rPr>
      </w:pPr>
      <w:r>
        <w:rPr>
          <w:rFonts w:ascii="Arial" w:hAnsi="Arial"/>
          <w:sz w:val="22"/>
        </w:rPr>
        <w:t>4.</w:t>
      </w:r>
      <w:r>
        <w:rPr>
          <w:rFonts w:ascii="Arial" w:hAnsi="Arial"/>
          <w:sz w:val="22"/>
        </w:rPr>
        <w:tab/>
      </w:r>
      <w:r w:rsidRPr="00FF3176">
        <w:rPr>
          <w:rFonts w:ascii="Arial" w:hAnsi="Arial"/>
          <w:sz w:val="22"/>
        </w:rPr>
        <w:t>Cultural Diversity</w:t>
      </w:r>
    </w:p>
    <w:p w:rsidR="00FF3176" w:rsidRPr="00FF3176" w:rsidRDefault="00CB1628" w:rsidP="00FF3176">
      <w:pPr>
        <w:ind w:left="1440"/>
        <w:rPr>
          <w:rFonts w:ascii="Arial" w:hAnsi="Arial"/>
          <w:sz w:val="22"/>
        </w:rPr>
      </w:pPr>
      <w:r>
        <w:rPr>
          <w:rFonts w:ascii="Arial" w:hAnsi="Arial"/>
          <w:sz w:val="22"/>
        </w:rPr>
        <w:t>5</w:t>
      </w:r>
      <w:r w:rsidR="00FF3176" w:rsidRPr="00FF3176">
        <w:rPr>
          <w:rFonts w:ascii="Arial" w:hAnsi="Arial"/>
          <w:sz w:val="22"/>
        </w:rPr>
        <w:t>.</w:t>
      </w:r>
      <w:r w:rsidR="00FF3176" w:rsidRPr="00FF3176">
        <w:rPr>
          <w:rFonts w:ascii="Arial" w:hAnsi="Arial"/>
          <w:sz w:val="22"/>
        </w:rPr>
        <w:tab/>
        <w:t>Listening and Responding</w:t>
      </w:r>
    </w:p>
    <w:p w:rsidR="00FF3176" w:rsidRPr="00FF3176" w:rsidRDefault="00CB1628" w:rsidP="00FF3176">
      <w:pPr>
        <w:ind w:left="1440"/>
        <w:rPr>
          <w:rFonts w:ascii="Arial" w:hAnsi="Arial"/>
          <w:sz w:val="22"/>
        </w:rPr>
      </w:pPr>
      <w:r>
        <w:rPr>
          <w:rFonts w:ascii="Arial" w:hAnsi="Arial"/>
          <w:sz w:val="22"/>
        </w:rPr>
        <w:t>6</w:t>
      </w:r>
      <w:r w:rsidR="00FF3176" w:rsidRPr="00FF3176">
        <w:rPr>
          <w:rFonts w:ascii="Arial" w:hAnsi="Arial"/>
          <w:sz w:val="22"/>
        </w:rPr>
        <w:t>.</w:t>
      </w:r>
      <w:r w:rsidR="00FF3176" w:rsidRPr="00FF3176">
        <w:rPr>
          <w:rFonts w:ascii="Arial" w:hAnsi="Arial"/>
          <w:sz w:val="22"/>
        </w:rPr>
        <w:tab/>
        <w:t>Verbal Communication Skills</w:t>
      </w:r>
    </w:p>
    <w:p w:rsidR="00FF3176" w:rsidRPr="00FF3176" w:rsidRDefault="00CB1628" w:rsidP="00FF3176">
      <w:pPr>
        <w:ind w:left="1440"/>
        <w:rPr>
          <w:rFonts w:ascii="Arial" w:hAnsi="Arial"/>
          <w:sz w:val="22"/>
        </w:rPr>
      </w:pPr>
      <w:r>
        <w:rPr>
          <w:rFonts w:ascii="Arial" w:hAnsi="Arial"/>
          <w:sz w:val="22"/>
        </w:rPr>
        <w:t>7</w:t>
      </w:r>
      <w:r w:rsidR="00FF3176" w:rsidRPr="00FF3176">
        <w:rPr>
          <w:rFonts w:ascii="Arial" w:hAnsi="Arial"/>
          <w:sz w:val="22"/>
        </w:rPr>
        <w:t>.</w:t>
      </w:r>
      <w:r w:rsidR="00FF3176" w:rsidRPr="00FF3176">
        <w:rPr>
          <w:rFonts w:ascii="Arial" w:hAnsi="Arial"/>
          <w:sz w:val="22"/>
        </w:rPr>
        <w:tab/>
        <w:t>Non Verbal Communication Skills</w:t>
      </w:r>
    </w:p>
    <w:p w:rsidR="00FF3176" w:rsidRPr="00FF3176" w:rsidRDefault="00CB1628" w:rsidP="00FF3176">
      <w:pPr>
        <w:ind w:left="1440"/>
        <w:rPr>
          <w:rFonts w:ascii="Arial" w:hAnsi="Arial"/>
          <w:sz w:val="22"/>
        </w:rPr>
      </w:pPr>
      <w:r>
        <w:rPr>
          <w:rFonts w:ascii="Arial" w:hAnsi="Arial"/>
          <w:sz w:val="22"/>
        </w:rPr>
        <w:t>8</w:t>
      </w:r>
      <w:r w:rsidR="00FF3176" w:rsidRPr="00FF3176">
        <w:rPr>
          <w:rFonts w:ascii="Arial" w:hAnsi="Arial"/>
          <w:sz w:val="22"/>
        </w:rPr>
        <w:t>.</w:t>
      </w:r>
      <w:r w:rsidR="00FF3176"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9</w:t>
      </w:r>
      <w:r w:rsidR="00CB1628">
        <w:rPr>
          <w:rFonts w:ascii="Arial" w:hAnsi="Arial"/>
          <w:sz w:val="22"/>
        </w:rPr>
        <w:t>.</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00CB1628">
        <w:rPr>
          <w:rFonts w:ascii="Arial" w:hAnsi="Arial"/>
          <w:sz w:val="22"/>
        </w:rPr>
        <w:t>.</w:t>
      </w: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M. (20</w:t>
      </w:r>
      <w:r w:rsidR="0027605A">
        <w:rPr>
          <w:rFonts w:ascii="Arial" w:hAnsi="Arial"/>
          <w:sz w:val="20"/>
        </w:rPr>
        <w:t>14</w:t>
      </w:r>
      <w:r>
        <w:rPr>
          <w:rFonts w:ascii="Arial" w:hAnsi="Arial"/>
          <w:sz w:val="20"/>
        </w:rPr>
        <w:t xml:space="preserve">) </w:t>
      </w:r>
      <w:r w:rsidR="00FF3176" w:rsidRPr="00FF3176">
        <w:rPr>
          <w:rFonts w:ascii="Arial" w:hAnsi="Arial"/>
          <w:sz w:val="20"/>
        </w:rPr>
        <w:t xml:space="preserve">Interpersonal Communication: Relating to Others </w:t>
      </w:r>
      <w:r w:rsidR="0027605A">
        <w:rPr>
          <w:rFonts w:ascii="Arial" w:hAnsi="Arial"/>
          <w:sz w:val="20"/>
        </w:rPr>
        <w:t>7</w:t>
      </w:r>
      <w:r w:rsidR="00FF3176" w:rsidRPr="00FF3176">
        <w:rPr>
          <w:rFonts w:ascii="Arial" w:hAnsi="Arial"/>
          <w:sz w:val="20"/>
        </w:rPr>
        <w:t xml:space="preserve">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00214E7C">
        <w:rPr>
          <w:rFonts w:ascii="Arial" w:hAnsi="Arial"/>
          <w:i/>
          <w:szCs w:val="24"/>
        </w:rPr>
        <w:tab/>
      </w:r>
      <w:r w:rsidRPr="00EC31E6">
        <w:rPr>
          <w:rFonts w:ascii="Arial" w:hAnsi="Arial"/>
          <w:szCs w:val="24"/>
        </w:rPr>
        <w:t>50%</w:t>
      </w:r>
    </w:p>
    <w:p w:rsidR="00AF1391" w:rsidRPr="00EC31E6"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214E7C">
        <w:rPr>
          <w:rFonts w:ascii="Arial" w:hAnsi="Arial"/>
          <w:szCs w:val="24"/>
        </w:rPr>
        <w:t xml:space="preserve">              </w:t>
      </w:r>
      <w:r w:rsidR="00214E7C">
        <w:rPr>
          <w:rFonts w:ascii="Arial" w:hAnsi="Arial"/>
          <w:szCs w:val="24"/>
        </w:rPr>
        <w:tab/>
      </w:r>
      <w:r w:rsidRPr="00EC31E6">
        <w:rPr>
          <w:rFonts w:ascii="Arial" w:hAnsi="Arial"/>
          <w:szCs w:val="24"/>
        </w:rPr>
        <w:t>10%</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bl>
    <w:p w:rsidR="00214E7C" w:rsidRDefault="00214E7C">
      <w:r>
        <w:br w:type="page"/>
      </w:r>
    </w:p>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w:t>
      </w:r>
      <w:r w:rsidR="001D2867">
        <w:rPr>
          <w:rFonts w:ascii="Arial" w:hAnsi="Arial"/>
        </w:rPr>
        <w:t xml:space="preserve"> </w:t>
      </w:r>
      <w:r>
        <w:rPr>
          <w:rFonts w:ascii="Arial" w:hAnsi="Arial"/>
        </w:rPr>
        <w:t>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40" w:rsidRDefault="00567B40">
      <w:r>
        <w:separator/>
      </w:r>
    </w:p>
  </w:endnote>
  <w:endnote w:type="continuationSeparator" w:id="0">
    <w:p w:rsidR="00567B40" w:rsidRDefault="005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40" w:rsidRDefault="00567B40">
      <w:r>
        <w:separator/>
      </w:r>
    </w:p>
  </w:footnote>
  <w:footnote w:type="continuationSeparator" w:id="0">
    <w:p w:rsidR="00567B40" w:rsidRDefault="0056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Default="00567B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7B40" w:rsidRDefault="00567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F5072E">
      <w:rPr>
        <w:rFonts w:ascii="Arial" w:hAnsi="Arial" w:cs="Arial"/>
        <w:b/>
        <w:noProof/>
      </w:rPr>
      <w:t>4</w:t>
    </w:r>
    <w:r w:rsidRPr="006F58E0">
      <w:rPr>
        <w:rFonts w:ascii="Arial" w:hAnsi="Arial" w:cs="Arial"/>
        <w:b/>
      </w:rPr>
      <w:fldChar w:fldCharType="end"/>
    </w:r>
    <w:r w:rsidRPr="006F58E0">
      <w:rPr>
        <w:rFonts w:ascii="Arial" w:hAnsi="Arial" w:cs="Arial"/>
        <w:b/>
      </w:rPr>
      <w:tab/>
      <w:t>HSC103</w:t>
    </w:r>
  </w:p>
  <w:p w:rsidR="00567B40" w:rsidRDefault="00567B4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F5072E">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EE92F6C0"/>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4491B"/>
    <w:rsid w:val="00121AEA"/>
    <w:rsid w:val="0012680F"/>
    <w:rsid w:val="0013201F"/>
    <w:rsid w:val="001428EB"/>
    <w:rsid w:val="00177078"/>
    <w:rsid w:val="001B72EE"/>
    <w:rsid w:val="001D2867"/>
    <w:rsid w:val="001F5EDC"/>
    <w:rsid w:val="00214E7C"/>
    <w:rsid w:val="00260653"/>
    <w:rsid w:val="0026092F"/>
    <w:rsid w:val="0026165D"/>
    <w:rsid w:val="00267910"/>
    <w:rsid w:val="0027328B"/>
    <w:rsid w:val="0027605A"/>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06C9F"/>
    <w:rsid w:val="00532940"/>
    <w:rsid w:val="00533537"/>
    <w:rsid w:val="0056705E"/>
    <w:rsid w:val="00567B40"/>
    <w:rsid w:val="00576E0C"/>
    <w:rsid w:val="005A28BC"/>
    <w:rsid w:val="005A5F96"/>
    <w:rsid w:val="005C10A6"/>
    <w:rsid w:val="005C6659"/>
    <w:rsid w:val="00613807"/>
    <w:rsid w:val="00626C24"/>
    <w:rsid w:val="00632004"/>
    <w:rsid w:val="006548C7"/>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8E5BF1"/>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1628"/>
    <w:rsid w:val="00CB4EB0"/>
    <w:rsid w:val="00CE00AF"/>
    <w:rsid w:val="00D11037"/>
    <w:rsid w:val="00D1300B"/>
    <w:rsid w:val="00D444B5"/>
    <w:rsid w:val="00D62536"/>
    <w:rsid w:val="00D815B9"/>
    <w:rsid w:val="00D95AF1"/>
    <w:rsid w:val="00DC1839"/>
    <w:rsid w:val="00DD272E"/>
    <w:rsid w:val="00E25868"/>
    <w:rsid w:val="00E550C2"/>
    <w:rsid w:val="00E8152E"/>
    <w:rsid w:val="00E86FF6"/>
    <w:rsid w:val="00EC31E6"/>
    <w:rsid w:val="00EE2242"/>
    <w:rsid w:val="00EE6E49"/>
    <w:rsid w:val="00EF4EC9"/>
    <w:rsid w:val="00EF5B81"/>
    <w:rsid w:val="00F0236B"/>
    <w:rsid w:val="00F430A9"/>
    <w:rsid w:val="00F5072E"/>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9E069-717E-4DAA-AE9F-F6F7CCD54B42}"/>
</file>

<file path=customXml/itemProps2.xml><?xml version="1.0" encoding="utf-8"?>
<ds:datastoreItem xmlns:ds="http://schemas.openxmlformats.org/officeDocument/2006/customXml" ds:itemID="{A6B9C9E9-CAA5-4CA1-83A7-E78C890C640F}"/>
</file>

<file path=customXml/itemProps3.xml><?xml version="1.0" encoding="utf-8"?>
<ds:datastoreItem xmlns:ds="http://schemas.openxmlformats.org/officeDocument/2006/customXml" ds:itemID="{510073CD-5FE7-4BD9-91AF-F0ED3AA505B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4</Pages>
  <Words>719</Words>
  <Characters>4775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5</cp:revision>
  <cp:lastPrinted>2014-08-22T19:40:00Z</cp:lastPrinted>
  <dcterms:created xsi:type="dcterms:W3CDTF">2014-05-06T20:23:00Z</dcterms:created>
  <dcterms:modified xsi:type="dcterms:W3CDTF">2014-08-22T19:41:00Z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11156400</vt:r8>
  </property>
</Properties>
</file>